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before="120" w:lineRule="auto"/>
        <w:rPr>
          <w:b w:val="1"/>
          <w:bCs w:val="1"/>
          <w:color w:val="0000ff"/>
          <w:sz w:val="26"/>
          <w:szCs w:val="26"/>
        </w:rPr>
      </w:pPr>
      <w:r w:rsidDel="00000000" w:rsidR="00000000" w:rsidRPr="00000000">
        <w:rPr>
          <w:b w:val="1"/>
          <w:bCs w:val="1"/>
          <w:color w:val="0000ff"/>
          <w:sz w:val="26"/>
          <w:szCs w:val="26"/>
          <w:rtl w:val="0"/>
        </w:rPr>
        <w:t xml:space="preserve">Problem 1. Spectral resolution and Doppler information</w:t>
      </w:r>
    </w:p>
    <w:p w:rsidR="00000000" w:rsidDel="00000000" w:rsidP="00000000" w:rsidRDefault="00000000" w:rsidRPr="00000000" w14:paraId="00000002">
      <w:pPr>
        <w:spacing w:after="200" w:before="220" w:lineRule="auto"/>
        <w:rPr/>
      </w:pPr>
      <w:r w:rsidDel="00000000" w:rsidR="00000000" w:rsidRPr="00000000">
        <w:rPr>
          <w:rtl w:val="0"/>
        </w:rPr>
        <w:t xml:space="preserve">A spectrograph observes a solar-type star around </w:t>
      </w:r>
      <w:r w:rsidDel="00000000" w:rsidR="00000000" w:rsidRPr="00000000">
        <w:rPr>
          <w:i w:val="1"/>
          <w:iCs w:val="1"/>
          <w:rtl w:val="0"/>
        </w:rPr>
        <w:t xml:space="preserve">550 nm</w:t>
      </w:r>
      <w:r w:rsidDel="00000000" w:rsidR="00000000" w:rsidRPr="00000000">
        <w:rPr>
          <w:rtl w:val="0"/>
        </w:rPr>
        <w:t xml:space="preserve">. Compare two instrument setups with resolving power </w:t>
      </w:r>
      <w:r w:rsidDel="00000000" w:rsidR="00000000" w:rsidRPr="00000000">
        <w:rPr>
          <w:b w:val="1"/>
          <w:bCs w:val="1"/>
          <w:rtl w:val="0"/>
        </w:rPr>
        <w:t xml:space="preserve">R = 50,000</w:t>
      </w:r>
      <w:r w:rsidDel="00000000" w:rsidR="00000000" w:rsidRPr="00000000">
        <w:rPr>
          <w:rtl w:val="0"/>
        </w:rPr>
        <w:t xml:space="preserve"> and </w:t>
      </w:r>
      <w:r w:rsidDel="00000000" w:rsidR="00000000" w:rsidRPr="00000000">
        <w:rPr>
          <w:b w:val="1"/>
          <w:bCs w:val="1"/>
          <w:rtl w:val="0"/>
        </w:rPr>
        <w:t xml:space="preserve">R = 100,000</w:t>
      </w:r>
      <w:r w:rsidDel="00000000" w:rsidR="00000000" w:rsidRPr="00000000">
        <w:rPr>
          <w:rtl w:val="0"/>
        </w:rPr>
        <w:t xml:space="preserve">.</w:t>
      </w:r>
    </w:p>
    <w:p w:rsidR="00000000" w:rsidDel="00000000" w:rsidP="00000000" w:rsidRDefault="00000000" w:rsidRPr="00000000" w14:paraId="00000003">
      <w:pPr>
        <w:numPr>
          <w:ilvl w:val="0"/>
          <w:numId w:val="3"/>
        </w:numPr>
        <w:spacing w:after="0" w:afterAutospacing="0" w:before="240" w:lineRule="auto"/>
        <w:ind w:left="720" w:hanging="360"/>
      </w:pPr>
      <w:r w:rsidDel="00000000" w:rsidR="00000000" w:rsidRPr="00000000">
        <w:rPr>
          <w:rtl w:val="0"/>
        </w:rPr>
        <w:t xml:space="preserve">a) Compute the width of one resolution element, Delta lambda = lambda / R, for both cases at 550 </w:t>
        <w:tab/>
        <w:t xml:space="preserve">nm.</w:t>
      </w:r>
    </w:p>
    <w:p w:rsidR="00000000" w:rsidDel="00000000" w:rsidP="00000000" w:rsidRDefault="00000000" w:rsidRPr="00000000" w14:paraId="00000004">
      <w:pPr>
        <w:numPr>
          <w:ilvl w:val="0"/>
          <w:numId w:val="3"/>
        </w:numPr>
        <w:spacing w:after="0" w:afterAutospacing="0" w:before="0" w:beforeAutospacing="0" w:lineRule="auto"/>
        <w:ind w:left="720" w:hanging="360"/>
      </w:pPr>
      <w:r w:rsidDel="00000000" w:rsidR="00000000" w:rsidRPr="00000000">
        <w:rPr>
          <w:rtl w:val="0"/>
        </w:rPr>
        <w:t xml:space="preserve">b) Convert these wavelength </w:t>
        <w:tab/>
        <w:t xml:space="preserve">intervals into an equivalent velocity scale using Delta v ~ c / R.</w:t>
      </w:r>
    </w:p>
    <w:p w:rsidR="00000000" w:rsidDel="00000000" w:rsidP="00000000" w:rsidRDefault="00000000" w:rsidRPr="00000000" w14:paraId="00000005">
      <w:pPr>
        <w:numPr>
          <w:ilvl w:val="0"/>
          <w:numId w:val="3"/>
        </w:numPr>
        <w:spacing w:after="240" w:before="0" w:beforeAutospacing="0" w:lineRule="auto"/>
        <w:ind w:left="720" w:hanging="360"/>
      </w:pPr>
      <w:r w:rsidDel="00000000" w:rsidR="00000000" w:rsidRPr="00000000">
        <w:rPr>
          <w:rtl w:val="0"/>
        </w:rPr>
        <w:t xml:space="preserve">c) Explain why increasing R </w:t>
        <w:tab/>
        <w:t xml:space="preserve">does not automatically guarantee proportionally better radial </w:t>
        <w:tab/>
        <w:t xml:space="preserve">velocity precision, even though the lecture notes state that higher </w:t>
        <w:tab/>
        <w:t xml:space="preserve">resolving power reveals more spectral lines and therefore more </w:t>
        <w:tab/>
        <w:t xml:space="preserve">Doppler information.</w:t>
      </w:r>
    </w:p>
    <w:p w:rsidR="00000000" w:rsidDel="00000000" w:rsidP="00000000" w:rsidRDefault="00000000" w:rsidRPr="00000000" w14:paraId="00000006">
      <w:pPr>
        <w:spacing w:after="200" w:before="80" w:lineRule="auto"/>
        <w:rPr>
          <w:b w:val="1"/>
          <w:bCs w:val="1"/>
          <w:color w:val="ff0000"/>
          <w:sz w:val="34"/>
          <w:szCs w:val="34"/>
        </w:rPr>
      </w:pPr>
      <w:r w:rsidDel="00000000" w:rsidR="00000000" w:rsidRPr="00000000">
        <w:rPr>
          <w:b w:val="1"/>
          <w:bCs w:val="1"/>
          <w:color w:val="ff0000"/>
          <w:rtl w:val="0"/>
        </w:rPr>
        <w:t xml:space="preserve">Solutions</w:t>
      </w:r>
      <w:r w:rsidDel="00000000" w:rsidR="00000000" w:rsidRPr="00000000">
        <w:rPr>
          <w:rtl w:val="0"/>
        </w:rPr>
      </w:r>
    </w:p>
    <w:p w:rsidR="00000000" w:rsidDel="00000000" w:rsidP="00000000" w:rsidRDefault="00000000" w:rsidRPr="00000000" w14:paraId="00000007">
      <w:pPr>
        <w:spacing w:after="200" w:before="220" w:lineRule="auto"/>
        <w:rPr>
          <w:color w:val="ff0000"/>
        </w:rPr>
      </w:pPr>
      <w:r w:rsidDel="00000000" w:rsidR="00000000" w:rsidRPr="00000000">
        <w:rPr>
          <w:color w:val="ff0000"/>
          <w:rtl w:val="0"/>
        </w:rPr>
        <w:t xml:space="preserve">a) At lambda = 550 nm, the spectral resolution element is</w:t>
      </w:r>
    </w:p>
    <w:p w:rsidR="00000000" w:rsidDel="00000000" w:rsidP="00000000" w:rsidRDefault="00000000" w:rsidRPr="00000000" w14:paraId="00000008">
      <w:pPr>
        <w:spacing w:after="200" w:before="220" w:lineRule="auto"/>
        <w:rPr>
          <w:color w:val="ff0000"/>
        </w:rPr>
      </w:pPr>
      <w:r w:rsidDel="00000000" w:rsidR="00000000" w:rsidRPr="00000000">
        <w:rPr>
          <w:color w:val="ff0000"/>
          <w:rtl w:val="0"/>
        </w:rPr>
        <w:t xml:space="preserve">For R = 50,000, Delta lambda = 550 / 50,000 = 0.011 nm.</w:t>
      </w:r>
    </w:p>
    <w:p w:rsidR="00000000" w:rsidDel="00000000" w:rsidP="00000000" w:rsidRDefault="00000000" w:rsidRPr="00000000" w14:paraId="00000009">
      <w:pPr>
        <w:spacing w:after="200" w:before="220" w:lineRule="auto"/>
        <w:rPr>
          <w:color w:val="ff0000"/>
        </w:rPr>
      </w:pPr>
      <w:r w:rsidDel="00000000" w:rsidR="00000000" w:rsidRPr="00000000">
        <w:rPr>
          <w:color w:val="ff0000"/>
          <w:rtl w:val="0"/>
        </w:rPr>
        <w:t xml:space="preserve">For R = 100,000, Delta lambda = 550 / 100,000 = 0.0055 nm.</w:t>
      </w:r>
    </w:p>
    <w:p w:rsidR="00000000" w:rsidDel="00000000" w:rsidP="00000000" w:rsidRDefault="00000000" w:rsidRPr="00000000" w14:paraId="0000000A">
      <w:pPr>
        <w:spacing w:after="200" w:before="220" w:lineRule="auto"/>
        <w:rPr>
          <w:color w:val="ff0000"/>
        </w:rPr>
      </w:pPr>
      <w:r w:rsidDel="00000000" w:rsidR="00000000" w:rsidRPr="00000000">
        <w:rPr>
          <w:color w:val="ff0000"/>
          <w:rtl w:val="0"/>
        </w:rPr>
        <w:t xml:space="preserve">Thus, doubling R halves the width of the resolution element.</w:t>
      </w:r>
    </w:p>
    <w:p w:rsidR="00000000" w:rsidDel="00000000" w:rsidP="00000000" w:rsidRDefault="00000000" w:rsidRPr="00000000" w14:paraId="0000000B">
      <w:pPr>
        <w:spacing w:after="200" w:before="220" w:lineRule="auto"/>
        <w:rPr>
          <w:color w:val="ff0000"/>
        </w:rPr>
      </w:pPr>
      <w:r w:rsidDel="00000000" w:rsidR="00000000" w:rsidRPr="00000000">
        <w:rPr>
          <w:color w:val="ff0000"/>
          <w:rtl w:val="0"/>
        </w:rPr>
        <w:t xml:space="preserve">b) Using Delta v ~ c / R with c = 3 x 10^8 m/s,</w:t>
      </w:r>
    </w:p>
    <w:p w:rsidR="00000000" w:rsidDel="00000000" w:rsidP="00000000" w:rsidRDefault="00000000" w:rsidRPr="00000000" w14:paraId="0000000C">
      <w:pPr>
        <w:spacing w:after="200" w:before="220" w:lineRule="auto"/>
        <w:rPr>
          <w:color w:val="ff0000"/>
        </w:rPr>
      </w:pPr>
      <w:r w:rsidDel="00000000" w:rsidR="00000000" w:rsidRPr="00000000">
        <w:rPr>
          <w:color w:val="ff0000"/>
          <w:rtl w:val="0"/>
        </w:rPr>
        <w:t xml:space="preserve">for R = 50,000, Delta v ~ 6000 m/s,</w:t>
      </w:r>
    </w:p>
    <w:p w:rsidR="00000000" w:rsidDel="00000000" w:rsidP="00000000" w:rsidRDefault="00000000" w:rsidRPr="00000000" w14:paraId="0000000D">
      <w:pPr>
        <w:spacing w:after="200" w:before="220" w:lineRule="auto"/>
        <w:rPr>
          <w:color w:val="ff0000"/>
        </w:rPr>
      </w:pPr>
      <w:r w:rsidDel="00000000" w:rsidR="00000000" w:rsidRPr="00000000">
        <w:rPr>
          <w:color w:val="ff0000"/>
          <w:rtl w:val="0"/>
        </w:rPr>
        <w:t xml:space="preserve">for R = 100,000, Delta v ~ 3000 m/s.</w:t>
      </w:r>
    </w:p>
    <w:p w:rsidR="00000000" w:rsidDel="00000000" w:rsidP="00000000" w:rsidRDefault="00000000" w:rsidRPr="00000000" w14:paraId="0000000E">
      <w:pPr>
        <w:spacing w:after="200" w:before="220" w:lineRule="auto"/>
        <w:rPr>
          <w:color w:val="ff0000"/>
        </w:rPr>
      </w:pPr>
      <w:r w:rsidDel="00000000" w:rsidR="00000000" w:rsidRPr="00000000">
        <w:rPr>
          <w:color w:val="ff0000"/>
          <w:rtl w:val="0"/>
        </w:rPr>
        <w:t xml:space="preserve">This is the characteristic velocity width of one resolution element, not yet the final RV precision.</w:t>
      </w:r>
    </w:p>
    <w:p w:rsidR="00000000" w:rsidDel="00000000" w:rsidP="00000000" w:rsidRDefault="00000000" w:rsidRPr="00000000" w14:paraId="0000000F">
      <w:pPr>
        <w:spacing w:after="200" w:before="220" w:lineRule="auto"/>
        <w:rPr>
          <w:color w:val="ff0000"/>
        </w:rPr>
      </w:pPr>
      <w:r w:rsidDel="00000000" w:rsidR="00000000" w:rsidRPr="00000000">
        <w:rPr>
          <w:color w:val="ff0000"/>
          <w:rtl w:val="0"/>
        </w:rPr>
        <w:t xml:space="preserve">c) The final RV precision depends not only on R, but also on photon noise, spectral line density, line depth and sharpness, wavelength coverage, instrumental stability, detector sampling, and stellar activity. Once the intrinsic stellar lines are already well resolved, pushing R higher may reduce throughput and lower S/N. Therefore, the gain in RV precision can become much smaller than a simple factor of two.</w:t>
      </w:r>
    </w:p>
    <w:p w:rsidR="00000000" w:rsidDel="00000000" w:rsidP="00000000" w:rsidRDefault="00000000" w:rsidRPr="00000000" w14:paraId="00000010">
      <w:pPr>
        <w:pStyle w:val="Heading1"/>
        <w:keepNext w:val="0"/>
        <w:keepLines w:val="0"/>
        <w:spacing w:before="480" w:lineRule="auto"/>
        <w:rPr>
          <w:b w:val="1"/>
          <w:bCs w:val="1"/>
          <w:color w:val="0000ff"/>
          <w:sz w:val="26"/>
          <w:szCs w:val="26"/>
        </w:rPr>
      </w:pPr>
      <w:bookmarkStart w:colFirst="0" w:colLast="0" w:name="_tlc9bbvpa4tz" w:id="0"/>
      <w:bookmarkEnd w:id="0"/>
      <w:r w:rsidDel="00000000" w:rsidR="00000000" w:rsidRPr="00000000">
        <w:rPr>
          <w:b w:val="1"/>
          <w:bCs w:val="1"/>
          <w:color w:val="0000ff"/>
          <w:sz w:val="26"/>
          <w:szCs w:val="26"/>
          <w:rtl w:val="0"/>
        </w:rPr>
        <w:t xml:space="preserve">Problem 2, Photon-noise limit and observing strategy</w:t>
      </w:r>
    </w:p>
    <w:p w:rsidR="00000000" w:rsidDel="00000000" w:rsidP="00000000" w:rsidRDefault="00000000" w:rsidRPr="00000000" w14:paraId="00000011">
      <w:pPr>
        <w:spacing w:after="200" w:before="220" w:lineRule="auto"/>
        <w:rPr/>
      </w:pPr>
      <w:r w:rsidDel="00000000" w:rsidR="00000000" w:rsidRPr="00000000">
        <w:rPr>
          <w:rtl w:val="0"/>
        </w:rPr>
        <w:t xml:space="preserve">Assume that for a given star and spectrograph, one 15 minute exposure yields an approximate photon-noise-limited radial velocity uncertainty of </w:t>
      </w:r>
      <w:r w:rsidDel="00000000" w:rsidR="00000000" w:rsidRPr="00000000">
        <w:rPr>
          <w:b w:val="1"/>
          <w:bCs w:val="1"/>
          <w:rtl w:val="0"/>
        </w:rPr>
        <w:t xml:space="preserve">1.8 m/s</w:t>
      </w:r>
      <w:r w:rsidDel="00000000" w:rsidR="00000000" w:rsidRPr="00000000">
        <w:rPr>
          <w:rtl w:val="0"/>
        </w:rPr>
        <w:t xml:space="preserve">.</w:t>
      </w:r>
    </w:p>
    <w:p w:rsidR="00000000" w:rsidDel="00000000" w:rsidP="00000000" w:rsidRDefault="00000000" w:rsidRPr="00000000" w14:paraId="00000012">
      <w:pPr>
        <w:numPr>
          <w:ilvl w:val="0"/>
          <w:numId w:val="1"/>
        </w:numPr>
        <w:spacing w:after="0" w:afterAutospacing="0" w:before="240" w:lineRule="auto"/>
        <w:ind w:left="720" w:hanging="360"/>
      </w:pPr>
      <w:r w:rsidDel="00000000" w:rsidR="00000000" w:rsidRPr="00000000">
        <w:rPr>
          <w:rtl w:val="0"/>
        </w:rPr>
        <w:t xml:space="preserve">a) If four identical exposures are obtained and later combined, what is the expected photon-noise uncertainty, assuming uncorrelated noise?</w:t>
      </w:r>
    </w:p>
    <w:p w:rsidR="00000000" w:rsidDel="00000000" w:rsidP="00000000" w:rsidRDefault="00000000" w:rsidRPr="00000000" w14:paraId="00000013">
      <w:pPr>
        <w:numPr>
          <w:ilvl w:val="0"/>
          <w:numId w:val="1"/>
        </w:numPr>
        <w:spacing w:after="0" w:afterAutospacing="0" w:before="0" w:beforeAutospacing="0" w:lineRule="auto"/>
        <w:ind w:left="720" w:hanging="360"/>
      </w:pPr>
      <w:r w:rsidDel="00000000" w:rsidR="00000000" w:rsidRPr="00000000">
        <w:rPr>
          <w:rtl w:val="0"/>
        </w:rPr>
        <w:t xml:space="preserve">b) Suppose the star also shows short-timescale stellar variability with an additional 1.2 m/s </w:t>
        <w:tab/>
        <w:t xml:space="preserve">contribution per exposure. What is the total single-exposure uncertainty if photon noise and stellar noise are added in quadrature?</w:t>
      </w:r>
    </w:p>
    <w:p w:rsidR="00000000" w:rsidDel="00000000" w:rsidP="00000000" w:rsidRDefault="00000000" w:rsidRPr="00000000" w14:paraId="00000014">
      <w:pPr>
        <w:numPr>
          <w:ilvl w:val="0"/>
          <w:numId w:val="1"/>
        </w:numPr>
        <w:spacing w:after="240" w:before="0" w:beforeAutospacing="0" w:lineRule="auto"/>
        <w:ind w:left="720" w:hanging="360"/>
      </w:pPr>
      <w:r w:rsidDel="00000000" w:rsidR="00000000" w:rsidRPr="00000000">
        <w:rPr>
          <w:rtl w:val="0"/>
        </w:rPr>
        <w:t xml:space="preserve">c) The lecture emphasizes multiple exposures per night and temporal sampling optimised to stellar noise. Explain physically why this strategy helps, and under what conditions the uncertainty does not continue to improve exactly as 1/sqrt(N).</w:t>
      </w:r>
    </w:p>
    <w:p w:rsidR="00000000" w:rsidDel="00000000" w:rsidP="00000000" w:rsidRDefault="00000000" w:rsidRPr="00000000" w14:paraId="00000015">
      <w:pPr>
        <w:spacing w:after="200" w:before="80" w:lineRule="auto"/>
        <w:rPr>
          <w:b w:val="1"/>
          <w:bCs w:val="1"/>
          <w:sz w:val="34"/>
          <w:szCs w:val="34"/>
        </w:rPr>
      </w:pPr>
      <w:r w:rsidDel="00000000" w:rsidR="00000000" w:rsidRPr="00000000">
        <w:rPr>
          <w:b w:val="1"/>
          <w:bCs w:val="1"/>
          <w:color w:val="ff0000"/>
          <w:rtl w:val="0"/>
        </w:rPr>
        <w:t xml:space="preserve">Solutions</w:t>
      </w:r>
      <w:r w:rsidDel="00000000" w:rsidR="00000000" w:rsidRPr="00000000">
        <w:rPr>
          <w:rtl w:val="0"/>
        </w:rPr>
      </w:r>
    </w:p>
    <w:p w:rsidR="00000000" w:rsidDel="00000000" w:rsidP="00000000" w:rsidRDefault="00000000" w:rsidRPr="00000000" w14:paraId="00000016">
      <w:pPr>
        <w:spacing w:after="200" w:before="220" w:lineRule="auto"/>
        <w:rPr>
          <w:color w:val="ff0000"/>
        </w:rPr>
      </w:pPr>
      <w:r w:rsidDel="00000000" w:rsidR="00000000" w:rsidRPr="00000000">
        <w:rPr>
          <w:color w:val="ff0000"/>
          <w:rtl w:val="0"/>
        </w:rPr>
        <w:t xml:space="preserve">a) For uncorrelated noise, sigma_N = sigma_1 / sqrt(N). Therefore, sigma_4 = 1.8 / 2 = 0.9 m/s.</w:t>
      </w:r>
    </w:p>
    <w:p w:rsidR="00000000" w:rsidDel="00000000" w:rsidP="00000000" w:rsidRDefault="00000000" w:rsidRPr="00000000" w14:paraId="00000017">
      <w:pPr>
        <w:spacing w:after="200" w:before="220" w:lineRule="auto"/>
        <w:rPr>
          <w:color w:val="ff0000"/>
        </w:rPr>
      </w:pPr>
      <w:r w:rsidDel="00000000" w:rsidR="00000000" w:rsidRPr="00000000">
        <w:rPr>
          <w:color w:val="ff0000"/>
          <w:rtl w:val="0"/>
        </w:rPr>
        <w:t xml:space="preserve">b) Adding the two contributions in quadrature gives</w:t>
      </w:r>
    </w:p>
    <w:p w:rsidR="00000000" w:rsidDel="00000000" w:rsidP="00000000" w:rsidRDefault="00000000" w:rsidRPr="00000000" w14:paraId="00000018">
      <w:pPr>
        <w:spacing w:after="200" w:before="220" w:lineRule="auto"/>
        <w:rPr>
          <w:color w:val="ff0000"/>
        </w:rPr>
      </w:pPr>
      <w:r w:rsidDel="00000000" w:rsidR="00000000" w:rsidRPr="00000000">
        <w:rPr>
          <w:color w:val="ff0000"/>
          <w:rtl w:val="0"/>
        </w:rPr>
        <w:t xml:space="preserve">sigma_tot = sqrt(1.8^2 + 1.2^2) = sqrt(3.24 + 1.44) = sqrt(4.68) = 2.16 m/s.</w:t>
      </w:r>
    </w:p>
    <w:p w:rsidR="00000000" w:rsidDel="00000000" w:rsidP="00000000" w:rsidRDefault="00000000" w:rsidRPr="00000000" w14:paraId="00000019">
      <w:pPr>
        <w:spacing w:after="200" w:before="220" w:lineRule="auto"/>
        <w:rPr>
          <w:color w:val="ff0000"/>
        </w:rPr>
      </w:pPr>
      <w:r w:rsidDel="00000000" w:rsidR="00000000" w:rsidRPr="00000000">
        <w:rPr>
          <w:color w:val="ff0000"/>
          <w:rtl w:val="0"/>
        </w:rPr>
        <w:t xml:space="preserve">So one exposure is limited to about 2.16 m/s when both effects are present.</w:t>
      </w:r>
    </w:p>
    <w:p w:rsidR="00000000" w:rsidDel="00000000" w:rsidP="00000000" w:rsidRDefault="00000000" w:rsidRPr="00000000" w14:paraId="0000001A">
      <w:pPr>
        <w:spacing w:after="200" w:before="220" w:lineRule="auto"/>
        <w:rPr>
          <w:color w:val="ff0000"/>
        </w:rPr>
      </w:pPr>
      <w:r w:rsidDel="00000000" w:rsidR="00000000" w:rsidRPr="00000000">
        <w:rPr>
          <w:color w:val="ff0000"/>
          <w:rtl w:val="0"/>
        </w:rPr>
        <w:t xml:space="preserve">c) Multiple exposures per night help average over p-mode oscillations, granulation, and other short-timescale variability. This reduces noise that is not strictly instrumental. However, if the stellar signal is time-correlated, for example due to rotation, spots, plages, or evolving active regions, then the measurements are no longer independent. In that regime the uncertainty stops improving exactly as 1/sqrt(N), and one often needs activity indicators or Gaussian-process modelling.</w:t>
      </w:r>
    </w:p>
    <w:p w:rsidR="00000000" w:rsidDel="00000000" w:rsidP="00000000" w:rsidRDefault="00000000" w:rsidRPr="00000000" w14:paraId="0000001B">
      <w:pPr>
        <w:pStyle w:val="Heading1"/>
        <w:keepNext w:val="0"/>
        <w:keepLines w:val="0"/>
        <w:spacing w:before="480" w:lineRule="auto"/>
        <w:rPr>
          <w:b w:val="1"/>
          <w:bCs w:val="1"/>
          <w:color w:val="0000ff"/>
          <w:sz w:val="26"/>
          <w:szCs w:val="26"/>
        </w:rPr>
      </w:pPr>
      <w:bookmarkStart w:colFirst="0" w:colLast="0" w:name="_waqkc8cn2q2b" w:id="1"/>
      <w:bookmarkEnd w:id="1"/>
      <w:r w:rsidDel="00000000" w:rsidR="00000000" w:rsidRPr="00000000">
        <w:rPr>
          <w:b w:val="1"/>
          <w:bCs w:val="1"/>
          <w:color w:val="0000ff"/>
          <w:sz w:val="26"/>
          <w:szCs w:val="26"/>
          <w:rtl w:val="0"/>
        </w:rPr>
        <w:t xml:space="preserve">Problem 3, Instrument design trade-offs for high-precision RV work</w:t>
      </w:r>
    </w:p>
    <w:p w:rsidR="00000000" w:rsidDel="00000000" w:rsidP="00000000" w:rsidRDefault="00000000" w:rsidRPr="00000000" w14:paraId="0000001C">
      <w:pPr>
        <w:spacing w:after="200" w:before="220" w:lineRule="auto"/>
        <w:rPr/>
      </w:pPr>
      <w:r w:rsidDel="00000000" w:rsidR="00000000" w:rsidRPr="00000000">
        <w:rPr>
          <w:rtl w:val="0"/>
        </w:rPr>
        <w:t xml:space="preserve">Using the concepts discussed in the lecture, compare the following two spectrograph concepts for exoplanet radial velocity surveys:</w:t>
      </w:r>
    </w:p>
    <w:p w:rsidR="00000000" w:rsidDel="00000000" w:rsidP="00000000" w:rsidRDefault="00000000" w:rsidRPr="00000000" w14:paraId="0000001D">
      <w:pPr>
        <w:rPr/>
      </w:pPr>
      <w:r w:rsidDel="00000000" w:rsidR="00000000" w:rsidRPr="00000000">
        <w:rPr>
          <w:rtl w:val="0"/>
        </w:rPr>
        <w:tab/>
      </w:r>
    </w:p>
    <w:tbl>
      <w:tblPr>
        <w:tblStyle w:val="Table1"/>
        <w:tblW w:w="9750.0" w:type="dxa"/>
        <w:jc w:val="left"/>
        <w:tblLayout w:type="fixed"/>
        <w:tblLook w:val="0600"/>
      </w:tblPr>
      <w:tblGrid>
        <w:gridCol w:w="3240"/>
        <w:gridCol w:w="3255"/>
        <w:gridCol w:w="3255"/>
        <w:tblGridChange w:id="0">
          <w:tblGrid>
            <w:gridCol w:w="3240"/>
            <w:gridCol w:w="3255"/>
            <w:gridCol w:w="3255"/>
          </w:tblGrid>
        </w:tblGridChange>
      </w:tblGrid>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shd w:fill="d9eaf7" w:val="clear"/>
            <w:tcMar>
              <w:top w:w="0.0" w:type="dxa"/>
              <w:left w:w="0.0" w:type="dxa"/>
              <w:bottom w:w="0.0" w:type="dxa"/>
              <w:right w:w="0.0" w:type="dxa"/>
            </w:tcMar>
            <w:vAlign w:val="top"/>
          </w:tcPr>
          <w:p w:rsidR="00000000" w:rsidDel="00000000" w:rsidP="00000000" w:rsidRDefault="00000000" w:rsidRPr="00000000" w14:paraId="0000001E">
            <w:pPr>
              <w:spacing w:after="120" w:lineRule="auto"/>
              <w:rPr>
                <w:b w:val="1"/>
                <w:bCs w:val="1"/>
              </w:rPr>
            </w:pPr>
            <w:r w:rsidDel="00000000" w:rsidR="00000000" w:rsidRPr="00000000">
              <w:rPr>
                <w:rtl w:val="0"/>
              </w:rPr>
              <w:tab/>
              <w:tab/>
              <w:tab/>
              <w:tab/>
            </w:r>
            <w:r w:rsidDel="00000000" w:rsidR="00000000" w:rsidRPr="00000000">
              <w:rPr>
                <w:b w:val="1"/>
                <w:bCs w:val="1"/>
                <w:rtl w:val="0"/>
              </w:rPr>
              <w:t xml:space="preserve">Parameter</w:t>
            </w:r>
          </w:p>
          <w:p w:rsidR="00000000" w:rsidDel="00000000" w:rsidP="00000000" w:rsidRDefault="00000000" w:rsidRPr="00000000" w14:paraId="0000001F">
            <w:pPr>
              <w:rPr/>
            </w:pPr>
            <w:r w:rsidDel="00000000" w:rsidR="00000000" w:rsidRPr="00000000">
              <w:rPr>
                <w:rtl w:val="0"/>
              </w:rPr>
              <w:tab/>
              <w:tab/>
              <w:tab/>
            </w:r>
          </w:p>
        </w:tc>
        <w:tc>
          <w:tcPr>
            <w:tcBorders>
              <w:top w:color="000000" w:space="0" w:sz="6" w:val="single"/>
              <w:left w:color="000000" w:space="0" w:sz="6" w:val="single"/>
              <w:bottom w:color="000000" w:space="0" w:sz="6" w:val="single"/>
              <w:right w:color="000000" w:space="0" w:sz="6" w:val="single"/>
            </w:tcBorders>
            <w:shd w:fill="d9eaf7" w:val="clear"/>
            <w:tcMar>
              <w:top w:w="0.0" w:type="dxa"/>
              <w:left w:w="0.0" w:type="dxa"/>
              <w:bottom w:w="0.0" w:type="dxa"/>
              <w:right w:w="0.0" w:type="dxa"/>
            </w:tcMar>
            <w:vAlign w:val="top"/>
          </w:tcPr>
          <w:p w:rsidR="00000000" w:rsidDel="00000000" w:rsidP="00000000" w:rsidRDefault="00000000" w:rsidRPr="00000000" w14:paraId="00000020">
            <w:pPr>
              <w:spacing w:after="120" w:lineRule="auto"/>
              <w:rPr>
                <w:b w:val="1"/>
                <w:bCs w:val="1"/>
              </w:rPr>
            </w:pPr>
            <w:r w:rsidDel="00000000" w:rsidR="00000000" w:rsidRPr="00000000">
              <w:rPr>
                <w:rtl w:val="0"/>
              </w:rPr>
              <w:tab/>
              <w:tab/>
              <w:tab/>
              <w:tab/>
            </w:r>
            <w:r w:rsidDel="00000000" w:rsidR="00000000" w:rsidRPr="00000000">
              <w:rPr>
                <w:b w:val="1"/>
                <w:bCs w:val="1"/>
                <w:rtl w:val="0"/>
              </w:rPr>
              <w:t xml:space="preserve">Instrument A</w:t>
            </w:r>
          </w:p>
          <w:p w:rsidR="00000000" w:rsidDel="00000000" w:rsidP="00000000" w:rsidRDefault="00000000" w:rsidRPr="00000000" w14:paraId="00000021">
            <w:pPr>
              <w:rPr/>
            </w:pPr>
            <w:r w:rsidDel="00000000" w:rsidR="00000000" w:rsidRPr="00000000">
              <w:rPr>
                <w:rtl w:val="0"/>
              </w:rPr>
              <w:tab/>
              <w:tab/>
              <w:tab/>
            </w:r>
          </w:p>
        </w:tc>
        <w:tc>
          <w:tcPr>
            <w:tcBorders>
              <w:top w:color="000000" w:space="0" w:sz="6" w:val="single"/>
              <w:left w:color="000000" w:space="0" w:sz="6" w:val="single"/>
              <w:bottom w:color="000000" w:space="0" w:sz="6" w:val="single"/>
              <w:right w:color="000000" w:space="0" w:sz="6" w:val="single"/>
            </w:tcBorders>
            <w:shd w:fill="d9eaf7" w:val="clear"/>
            <w:tcMar>
              <w:top w:w="0.0" w:type="dxa"/>
              <w:left w:w="0.0" w:type="dxa"/>
              <w:bottom w:w="0.0" w:type="dxa"/>
              <w:right w:w="0.0" w:type="dxa"/>
            </w:tcMar>
            <w:vAlign w:val="top"/>
          </w:tcPr>
          <w:p w:rsidR="00000000" w:rsidDel="00000000" w:rsidP="00000000" w:rsidRDefault="00000000" w:rsidRPr="00000000" w14:paraId="00000022">
            <w:pPr>
              <w:spacing w:after="120" w:lineRule="auto"/>
              <w:rPr>
                <w:b w:val="1"/>
                <w:bCs w:val="1"/>
              </w:rPr>
            </w:pPr>
            <w:r w:rsidDel="00000000" w:rsidR="00000000" w:rsidRPr="00000000">
              <w:rPr>
                <w:rtl w:val="0"/>
              </w:rPr>
              <w:tab/>
              <w:tab/>
              <w:tab/>
              <w:tab/>
            </w:r>
            <w:r w:rsidDel="00000000" w:rsidR="00000000" w:rsidRPr="00000000">
              <w:rPr>
                <w:b w:val="1"/>
                <w:bCs w:val="1"/>
                <w:rtl w:val="0"/>
              </w:rPr>
              <w:t xml:space="preserve">Instrument B</w:t>
            </w:r>
          </w:p>
          <w:p w:rsidR="00000000" w:rsidDel="00000000" w:rsidP="00000000" w:rsidRDefault="00000000" w:rsidRPr="00000000" w14:paraId="00000023">
            <w:pPr>
              <w:rPr/>
            </w:pPr>
            <w:r w:rsidDel="00000000" w:rsidR="00000000" w:rsidRPr="00000000">
              <w:rPr>
                <w:rtl w:val="0"/>
              </w:rPr>
              <w:tab/>
              <w:tab/>
              <w:tab/>
            </w:r>
          </w:p>
        </w:tc>
      </w:tr>
      <w:tr>
        <w:trPr>
          <w:cantSplit w:val="0"/>
          <w:trHeight w:val="81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spacing w:after="120" w:lineRule="auto"/>
              <w:rPr/>
            </w:pPr>
            <w:r w:rsidDel="00000000" w:rsidR="00000000" w:rsidRPr="00000000">
              <w:rPr>
                <w:rtl w:val="0"/>
              </w:rPr>
              <w:tab/>
              <w:tab/>
              <w:tab/>
              <w:tab/>
              <w:t xml:space="preserve">Type</w:t>
            </w:r>
          </w:p>
          <w:p w:rsidR="00000000" w:rsidDel="00000000" w:rsidP="00000000" w:rsidRDefault="00000000" w:rsidRPr="00000000" w14:paraId="00000025">
            <w:pPr>
              <w:rPr/>
            </w:pPr>
            <w:r w:rsidDel="00000000" w:rsidR="00000000" w:rsidRPr="00000000">
              <w:rPr>
                <w:rtl w:val="0"/>
              </w:rPr>
              <w:tab/>
              <w:tab/>
              <w:tab/>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spacing w:after="120" w:lineRule="auto"/>
              <w:rPr/>
            </w:pPr>
            <w:r w:rsidDel="00000000" w:rsidR="00000000" w:rsidRPr="00000000">
              <w:rPr>
                <w:rtl w:val="0"/>
              </w:rPr>
              <w:tab/>
              <w:tab/>
              <w:tab/>
              <w:tab/>
              <w:t xml:space="preserve">Single-order long-slit spectrograph</w:t>
            </w:r>
          </w:p>
          <w:p w:rsidR="00000000" w:rsidDel="00000000" w:rsidP="00000000" w:rsidRDefault="00000000" w:rsidRPr="00000000" w14:paraId="00000027">
            <w:pPr>
              <w:rPr/>
            </w:pPr>
            <w:r w:rsidDel="00000000" w:rsidR="00000000" w:rsidRPr="00000000">
              <w:rPr>
                <w:rtl w:val="0"/>
              </w:rPr>
              <w:tab/>
              <w:tab/>
              <w:tab/>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spacing w:after="120" w:lineRule="auto"/>
              <w:rPr/>
            </w:pPr>
            <w:r w:rsidDel="00000000" w:rsidR="00000000" w:rsidRPr="00000000">
              <w:rPr>
                <w:rtl w:val="0"/>
              </w:rPr>
              <w:tab/>
              <w:tab/>
              <w:tab/>
              <w:tab/>
              <w:t xml:space="preserve">Fiber-fed cross-dispersed echelle</w:t>
            </w:r>
          </w:p>
          <w:p w:rsidR="00000000" w:rsidDel="00000000" w:rsidP="00000000" w:rsidRDefault="00000000" w:rsidRPr="00000000" w14:paraId="00000029">
            <w:pPr>
              <w:rPr/>
            </w:pPr>
            <w:r w:rsidDel="00000000" w:rsidR="00000000" w:rsidRPr="00000000">
              <w:rPr>
                <w:rtl w:val="0"/>
              </w:rPr>
              <w:tab/>
              <w:tab/>
              <w:tab/>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spacing w:after="120" w:lineRule="auto"/>
              <w:rPr/>
            </w:pPr>
            <w:r w:rsidDel="00000000" w:rsidR="00000000" w:rsidRPr="00000000">
              <w:rPr>
                <w:rtl w:val="0"/>
              </w:rPr>
              <w:tab/>
              <w:tab/>
              <w:tab/>
              <w:tab/>
              <w:t xml:space="preserve">Resolving power</w:t>
            </w:r>
          </w:p>
          <w:p w:rsidR="00000000" w:rsidDel="00000000" w:rsidP="00000000" w:rsidRDefault="00000000" w:rsidRPr="00000000" w14:paraId="0000002B">
            <w:pPr>
              <w:rPr/>
            </w:pPr>
            <w:r w:rsidDel="00000000" w:rsidR="00000000" w:rsidRPr="00000000">
              <w:rPr>
                <w:rtl w:val="0"/>
              </w:rPr>
              <w:tab/>
              <w:tab/>
              <w:tab/>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C">
            <w:pPr>
              <w:spacing w:after="120" w:lineRule="auto"/>
              <w:rPr/>
            </w:pPr>
            <w:r w:rsidDel="00000000" w:rsidR="00000000" w:rsidRPr="00000000">
              <w:rPr>
                <w:rtl w:val="0"/>
              </w:rPr>
              <w:tab/>
              <w:t xml:space="preserve">R = 25,000</w:t>
            </w:r>
          </w:p>
          <w:p w:rsidR="00000000" w:rsidDel="00000000" w:rsidP="00000000" w:rsidRDefault="00000000" w:rsidRPr="00000000" w14:paraId="0000002D">
            <w:pPr>
              <w:rPr/>
            </w:pPr>
            <w:r w:rsidDel="00000000" w:rsidR="00000000" w:rsidRPr="00000000">
              <w:rPr>
                <w:rtl w:val="0"/>
              </w:rPr>
              <w:tab/>
              <w:tab/>
              <w:tab/>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spacing w:after="120" w:lineRule="auto"/>
              <w:rPr/>
            </w:pPr>
            <w:r w:rsidDel="00000000" w:rsidR="00000000" w:rsidRPr="00000000">
              <w:rPr>
                <w:rtl w:val="0"/>
              </w:rPr>
              <w:tab/>
              <w:t xml:space="preserve">R = 110,000</w:t>
            </w:r>
          </w:p>
          <w:p w:rsidR="00000000" w:rsidDel="00000000" w:rsidP="00000000" w:rsidRDefault="00000000" w:rsidRPr="00000000" w14:paraId="0000002F">
            <w:pPr>
              <w:rPr/>
            </w:pPr>
            <w:r w:rsidDel="00000000" w:rsidR="00000000" w:rsidRPr="00000000">
              <w:rPr>
                <w:rtl w:val="0"/>
              </w:rPr>
              <w:tab/>
              <w:tab/>
              <w:tab/>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spacing w:after="120" w:lineRule="auto"/>
              <w:rPr/>
            </w:pPr>
            <w:r w:rsidDel="00000000" w:rsidR="00000000" w:rsidRPr="00000000">
              <w:rPr>
                <w:rtl w:val="0"/>
              </w:rPr>
              <w:tab/>
              <w:tab/>
              <w:tab/>
              <w:tab/>
              <w:t xml:space="preserve">Wavelength coverage</w:t>
            </w:r>
          </w:p>
          <w:p w:rsidR="00000000" w:rsidDel="00000000" w:rsidP="00000000" w:rsidRDefault="00000000" w:rsidRPr="00000000" w14:paraId="00000031">
            <w:pPr>
              <w:rPr/>
            </w:pPr>
            <w:r w:rsidDel="00000000" w:rsidR="00000000" w:rsidRPr="00000000">
              <w:rPr>
                <w:rtl w:val="0"/>
              </w:rPr>
              <w:tab/>
              <w:tab/>
              <w:tab/>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spacing w:after="120" w:lineRule="auto"/>
              <w:rPr/>
            </w:pPr>
            <w:r w:rsidDel="00000000" w:rsidR="00000000" w:rsidRPr="00000000">
              <w:rPr>
                <w:rtl w:val="0"/>
              </w:rPr>
              <w:tab/>
              <w:tab/>
              <w:tab/>
              <w:tab/>
              <w:t xml:space="preserve">Narrow</w:t>
            </w:r>
          </w:p>
          <w:p w:rsidR="00000000" w:rsidDel="00000000" w:rsidP="00000000" w:rsidRDefault="00000000" w:rsidRPr="00000000" w14:paraId="00000033">
            <w:pPr>
              <w:rPr/>
            </w:pPr>
            <w:r w:rsidDel="00000000" w:rsidR="00000000" w:rsidRPr="00000000">
              <w:rPr>
                <w:rtl w:val="0"/>
              </w:rPr>
              <w:tab/>
              <w:tab/>
              <w:tab/>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spacing w:after="120" w:lineRule="auto"/>
              <w:rPr/>
            </w:pPr>
            <w:r w:rsidDel="00000000" w:rsidR="00000000" w:rsidRPr="00000000">
              <w:rPr>
                <w:rtl w:val="0"/>
              </w:rPr>
              <w:tab/>
              <w:tab/>
              <w:tab/>
              <w:tab/>
              <w:t xml:space="preserve">Broad</w:t>
            </w:r>
          </w:p>
          <w:p w:rsidR="00000000" w:rsidDel="00000000" w:rsidP="00000000" w:rsidRDefault="00000000" w:rsidRPr="00000000" w14:paraId="00000035">
            <w:pPr>
              <w:rPr/>
            </w:pPr>
            <w:r w:rsidDel="00000000" w:rsidR="00000000" w:rsidRPr="00000000">
              <w:rPr>
                <w:rtl w:val="0"/>
              </w:rPr>
              <w:tab/>
              <w:tab/>
              <w:tab/>
            </w:r>
          </w:p>
        </w:tc>
      </w:tr>
      <w:tr>
        <w:trPr>
          <w:cantSplit w:val="0"/>
          <w:trHeight w:val="81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spacing w:after="120" w:lineRule="auto"/>
              <w:rPr/>
            </w:pPr>
            <w:r w:rsidDel="00000000" w:rsidR="00000000" w:rsidRPr="00000000">
              <w:rPr>
                <w:rtl w:val="0"/>
              </w:rPr>
              <w:tab/>
              <w:tab/>
              <w:tab/>
              <w:tab/>
              <w:t xml:space="preserve">Environment</w:t>
            </w:r>
          </w:p>
          <w:p w:rsidR="00000000" w:rsidDel="00000000" w:rsidP="00000000" w:rsidRDefault="00000000" w:rsidRPr="00000000" w14:paraId="00000037">
            <w:pPr>
              <w:rPr/>
            </w:pPr>
            <w:r w:rsidDel="00000000" w:rsidR="00000000" w:rsidRPr="00000000">
              <w:rPr>
                <w:rtl w:val="0"/>
              </w:rPr>
              <w:tab/>
              <w:tab/>
              <w:tab/>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8">
            <w:pPr>
              <w:spacing w:after="120" w:lineRule="auto"/>
              <w:rPr/>
            </w:pPr>
            <w:r w:rsidDel="00000000" w:rsidR="00000000" w:rsidRPr="00000000">
              <w:rPr>
                <w:rtl w:val="0"/>
              </w:rPr>
              <w:tab/>
              <w:tab/>
              <w:tab/>
              <w:tab/>
              <w:t xml:space="preserve">Room pressure and moderate thermal control</w:t>
            </w:r>
          </w:p>
          <w:p w:rsidR="00000000" w:rsidDel="00000000" w:rsidP="00000000" w:rsidRDefault="00000000" w:rsidRPr="00000000" w14:paraId="00000039">
            <w:pPr>
              <w:rPr/>
            </w:pPr>
            <w:r w:rsidDel="00000000" w:rsidR="00000000" w:rsidRPr="00000000">
              <w:rPr>
                <w:rtl w:val="0"/>
              </w:rPr>
              <w:tab/>
              <w:tab/>
              <w:tab/>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A">
            <w:pPr>
              <w:spacing w:after="120" w:lineRule="auto"/>
              <w:rPr/>
            </w:pPr>
            <w:r w:rsidDel="00000000" w:rsidR="00000000" w:rsidRPr="00000000">
              <w:rPr>
                <w:rtl w:val="0"/>
              </w:rPr>
              <w:tab/>
              <w:tab/>
              <w:tab/>
              <w:tab/>
              <w:t xml:space="preserve">Vacuum enclosed, mK thermal control</w:t>
            </w:r>
          </w:p>
          <w:p w:rsidR="00000000" w:rsidDel="00000000" w:rsidP="00000000" w:rsidRDefault="00000000" w:rsidRPr="00000000" w14:paraId="0000003B">
            <w:pPr>
              <w:rPr/>
            </w:pPr>
            <w:r w:rsidDel="00000000" w:rsidR="00000000" w:rsidRPr="00000000">
              <w:rPr>
                <w:rtl w:val="0"/>
              </w:rPr>
              <w:tab/>
              <w:tab/>
              <w:tab/>
            </w:r>
          </w:p>
        </w:tc>
      </w:tr>
      <w:tr>
        <w:trPr>
          <w:cantSplit w:val="0"/>
          <w:trHeight w:val="81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C">
            <w:pPr>
              <w:spacing w:after="120" w:lineRule="auto"/>
              <w:rPr/>
            </w:pPr>
            <w:r w:rsidDel="00000000" w:rsidR="00000000" w:rsidRPr="00000000">
              <w:rPr>
                <w:rtl w:val="0"/>
              </w:rPr>
              <w:tab/>
              <w:tab/>
              <w:tab/>
              <w:tab/>
              <w:t xml:space="preserve">Calibration</w:t>
            </w:r>
          </w:p>
          <w:p w:rsidR="00000000" w:rsidDel="00000000" w:rsidP="00000000" w:rsidRDefault="00000000" w:rsidRPr="00000000" w14:paraId="0000003D">
            <w:pPr>
              <w:rPr/>
            </w:pPr>
            <w:r w:rsidDel="00000000" w:rsidR="00000000" w:rsidRPr="00000000">
              <w:rPr>
                <w:rtl w:val="0"/>
              </w:rPr>
              <w:tab/>
              <w:tab/>
              <w:tab/>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E">
            <w:pPr>
              <w:spacing w:after="120" w:lineRule="auto"/>
              <w:rPr/>
            </w:pPr>
            <w:r w:rsidDel="00000000" w:rsidR="00000000" w:rsidRPr="00000000">
              <w:rPr>
                <w:rtl w:val="0"/>
              </w:rPr>
              <w:tab/>
              <w:tab/>
              <w:tab/>
              <w:tab/>
              <w:t xml:space="preserve">Occasional arc exposure</w:t>
            </w:r>
          </w:p>
          <w:p w:rsidR="00000000" w:rsidDel="00000000" w:rsidP="00000000" w:rsidRDefault="00000000" w:rsidRPr="00000000" w14:paraId="0000003F">
            <w:pPr>
              <w:rPr/>
            </w:pPr>
            <w:r w:rsidDel="00000000" w:rsidR="00000000" w:rsidRPr="00000000">
              <w:rPr>
                <w:rtl w:val="0"/>
              </w:rPr>
              <w:tab/>
              <w:tab/>
              <w:tab/>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0">
            <w:pPr>
              <w:spacing w:after="120" w:lineRule="auto"/>
              <w:rPr/>
            </w:pPr>
            <w:r w:rsidDel="00000000" w:rsidR="00000000" w:rsidRPr="00000000">
              <w:rPr>
                <w:rtl w:val="0"/>
              </w:rPr>
              <w:tab/>
              <w:tab/>
              <w:tab/>
              <w:tab/>
              <w:t xml:space="preserve">Simultaneous reference or laser comb</w:t>
            </w:r>
          </w:p>
          <w:p w:rsidR="00000000" w:rsidDel="00000000" w:rsidP="00000000" w:rsidRDefault="00000000" w:rsidRPr="00000000" w14:paraId="00000041">
            <w:pPr>
              <w:rPr/>
            </w:pPr>
            <w:r w:rsidDel="00000000" w:rsidR="00000000" w:rsidRPr="00000000">
              <w:rPr>
                <w:rtl w:val="0"/>
              </w:rPr>
              <w:tab/>
              <w:tab/>
              <w:tab/>
            </w:r>
          </w:p>
        </w:tc>
      </w:tr>
    </w:tbl>
    <w:p w:rsidR="00000000" w:rsidDel="00000000" w:rsidP="00000000" w:rsidRDefault="00000000" w:rsidRPr="00000000" w14:paraId="00000042">
      <w:pPr>
        <w:spacing w:after="200" w:before="220" w:lineRule="auto"/>
        <w:rPr/>
      </w:pPr>
      <w:r w:rsidDel="00000000" w:rsidR="00000000" w:rsidRPr="00000000">
        <w:rPr>
          <w:rtl w:val="0"/>
        </w:rPr>
        <w:t xml:space="preserve">Answer the following:</w:t>
      </w:r>
    </w:p>
    <w:p w:rsidR="00000000" w:rsidDel="00000000" w:rsidP="00000000" w:rsidRDefault="00000000" w:rsidRPr="00000000" w14:paraId="00000043">
      <w:pPr>
        <w:numPr>
          <w:ilvl w:val="0"/>
          <w:numId w:val="2"/>
        </w:numPr>
        <w:spacing w:after="0" w:afterAutospacing="0" w:before="240" w:lineRule="auto"/>
        <w:ind w:left="720" w:hanging="360"/>
      </w:pPr>
      <w:r w:rsidDel="00000000" w:rsidR="00000000" w:rsidRPr="00000000">
        <w:rPr>
          <w:rtl w:val="0"/>
        </w:rPr>
        <w:t xml:space="preserve">a) Which instrument is better suited for detecting low-mass exoplanets with semi-amplitudes below </w:t>
        <w:tab/>
        <w:t xml:space="preserve">1 m/s? Give at least four reasons.</w:t>
      </w:r>
    </w:p>
    <w:p w:rsidR="00000000" w:rsidDel="00000000" w:rsidP="00000000" w:rsidRDefault="00000000" w:rsidRPr="00000000" w14:paraId="00000044">
      <w:pPr>
        <w:numPr>
          <w:ilvl w:val="0"/>
          <w:numId w:val="2"/>
        </w:numPr>
        <w:spacing w:after="0" w:afterAutospacing="0" w:before="0" w:beforeAutospacing="0" w:lineRule="auto"/>
        <w:ind w:left="720" w:hanging="360"/>
      </w:pPr>
      <w:r w:rsidDel="00000000" w:rsidR="00000000" w:rsidRPr="00000000">
        <w:rPr>
          <w:rtl w:val="0"/>
        </w:rPr>
        <w:t xml:space="preserve">b) Which instrument is likely to be more robust and simpler to operate for teaching or basic stellar spectroscopy?</w:t>
      </w:r>
    </w:p>
    <w:p w:rsidR="00000000" w:rsidDel="00000000" w:rsidP="00000000" w:rsidRDefault="00000000" w:rsidRPr="00000000" w14:paraId="00000045">
      <w:pPr>
        <w:numPr>
          <w:ilvl w:val="0"/>
          <w:numId w:val="2"/>
        </w:numPr>
        <w:spacing w:after="240" w:before="0" w:beforeAutospacing="0" w:lineRule="auto"/>
        <w:ind w:left="720" w:hanging="360"/>
      </w:pPr>
      <w:r w:rsidDel="00000000" w:rsidR="00000000" w:rsidRPr="00000000">
        <w:rPr>
          <w:rtl w:val="0"/>
        </w:rPr>
        <w:t xml:space="preserve">c) Name one possible disadvantage of the high-resolution echelle design despite its clear </w:t>
        <w:tab/>
        <w:t xml:space="preserve">RV advantages.</w:t>
      </w:r>
    </w:p>
    <w:p w:rsidR="00000000" w:rsidDel="00000000" w:rsidP="00000000" w:rsidRDefault="00000000" w:rsidRPr="00000000" w14:paraId="00000046">
      <w:pPr>
        <w:spacing w:after="200" w:before="80" w:lineRule="auto"/>
        <w:rPr>
          <w:b w:val="1"/>
          <w:bCs w:val="1"/>
          <w:color w:val="ff0000"/>
          <w:sz w:val="34"/>
          <w:szCs w:val="34"/>
        </w:rPr>
      </w:pPr>
      <w:r w:rsidDel="00000000" w:rsidR="00000000" w:rsidRPr="00000000">
        <w:rPr>
          <w:b w:val="1"/>
          <w:bCs w:val="1"/>
          <w:color w:val="ff0000"/>
          <w:rtl w:val="0"/>
        </w:rPr>
        <w:t xml:space="preserve">Solutions</w:t>
      </w:r>
      <w:r w:rsidDel="00000000" w:rsidR="00000000" w:rsidRPr="00000000">
        <w:rPr>
          <w:rtl w:val="0"/>
        </w:rPr>
      </w:r>
    </w:p>
    <w:p w:rsidR="00000000" w:rsidDel="00000000" w:rsidP="00000000" w:rsidRDefault="00000000" w:rsidRPr="00000000" w14:paraId="00000047">
      <w:pPr>
        <w:spacing w:after="200" w:before="220" w:lineRule="auto"/>
        <w:rPr>
          <w:color w:val="ff0000"/>
        </w:rPr>
      </w:pPr>
      <w:r w:rsidDel="00000000" w:rsidR="00000000" w:rsidRPr="00000000">
        <w:rPr>
          <w:color w:val="ff0000"/>
          <w:rtl w:val="0"/>
        </w:rPr>
        <w:t xml:space="preserve">a) Instrument B is clearly better for sub m/s exoplanet work.</w:t>
      </w:r>
    </w:p>
    <w:p w:rsidR="00000000" w:rsidDel="00000000" w:rsidP="00000000" w:rsidRDefault="00000000" w:rsidRPr="00000000" w14:paraId="00000048">
      <w:pPr>
        <w:spacing w:after="200" w:before="220" w:lineRule="auto"/>
        <w:rPr>
          <w:color w:val="ff0000"/>
        </w:rPr>
      </w:pPr>
      <w:r w:rsidDel="00000000" w:rsidR="00000000" w:rsidRPr="00000000">
        <w:rPr>
          <w:color w:val="ff0000"/>
          <w:rtl w:val="0"/>
        </w:rPr>
        <w:t xml:space="preserve">Reason 1, its much higher resolving power produces sharper, better-resolved spectral information.</w:t>
      </w:r>
    </w:p>
    <w:p w:rsidR="00000000" w:rsidDel="00000000" w:rsidP="00000000" w:rsidRDefault="00000000" w:rsidRPr="00000000" w14:paraId="00000049">
      <w:pPr>
        <w:spacing w:after="200" w:before="220" w:lineRule="auto"/>
        <w:rPr>
          <w:color w:val="ff0000"/>
        </w:rPr>
      </w:pPr>
      <w:r w:rsidDel="00000000" w:rsidR="00000000" w:rsidRPr="00000000">
        <w:rPr>
          <w:color w:val="ff0000"/>
          <w:rtl w:val="0"/>
        </w:rPr>
        <w:t xml:space="preserve">Reason 2, its broad wavelength coverage allows many more stellar absorption lines to contribute to the RV estimate.</w:t>
      </w:r>
    </w:p>
    <w:p w:rsidR="00000000" w:rsidDel="00000000" w:rsidP="00000000" w:rsidRDefault="00000000" w:rsidRPr="00000000" w14:paraId="0000004A">
      <w:pPr>
        <w:spacing w:after="200" w:before="220" w:lineRule="auto"/>
        <w:rPr>
          <w:color w:val="ff0000"/>
        </w:rPr>
      </w:pPr>
      <w:r w:rsidDel="00000000" w:rsidR="00000000" w:rsidRPr="00000000">
        <w:rPr>
          <w:color w:val="ff0000"/>
          <w:rtl w:val="0"/>
        </w:rPr>
        <w:t xml:space="preserve">Reason 3, the fiber-fed design stabilizes the input illumination and reduces guiding-related RV shifts.</w:t>
      </w:r>
    </w:p>
    <w:p w:rsidR="00000000" w:rsidDel="00000000" w:rsidP="00000000" w:rsidRDefault="00000000" w:rsidRPr="00000000" w14:paraId="0000004B">
      <w:pPr>
        <w:spacing w:after="200" w:before="220" w:lineRule="auto"/>
        <w:rPr>
          <w:color w:val="ff0000"/>
        </w:rPr>
      </w:pPr>
      <w:r w:rsidDel="00000000" w:rsidR="00000000" w:rsidRPr="00000000">
        <w:rPr>
          <w:color w:val="ff0000"/>
          <w:rtl w:val="0"/>
        </w:rPr>
        <w:t xml:space="preserve">Reason 4, vacuum enclosure and milli-Kelvin thermal control strongly suppress instrumental drifts.</w:t>
      </w:r>
    </w:p>
    <w:p w:rsidR="00000000" w:rsidDel="00000000" w:rsidP="00000000" w:rsidRDefault="00000000" w:rsidRPr="00000000" w14:paraId="0000004C">
      <w:pPr>
        <w:spacing w:after="200" w:before="220" w:lineRule="auto"/>
        <w:rPr>
          <w:color w:val="ff0000"/>
        </w:rPr>
      </w:pPr>
      <w:r w:rsidDel="00000000" w:rsidR="00000000" w:rsidRPr="00000000">
        <w:rPr>
          <w:color w:val="ff0000"/>
          <w:rtl w:val="0"/>
        </w:rPr>
        <w:t xml:space="preserve">Reason 5, simultaneous calibration with a laser comb or stable reference track allows drift monitoring during the exposure itself.</w:t>
      </w:r>
    </w:p>
    <w:p w:rsidR="00000000" w:rsidDel="00000000" w:rsidP="00000000" w:rsidRDefault="00000000" w:rsidRPr="00000000" w14:paraId="0000004D">
      <w:pPr>
        <w:spacing w:after="200" w:before="220" w:lineRule="auto"/>
        <w:rPr>
          <w:color w:val="ff0000"/>
        </w:rPr>
      </w:pPr>
      <w:r w:rsidDel="00000000" w:rsidR="00000000" w:rsidRPr="00000000">
        <w:rPr>
          <w:color w:val="ff0000"/>
          <w:rtl w:val="0"/>
        </w:rPr>
        <w:t xml:space="preserve">b) Instrument A is simpler, cheaper, and usually more robust for general spectroscopy teaching. A long-slit spectrograph is easier to align and operate, and it is often sufficient when one does not require extreme RV precision.</w:t>
      </w:r>
    </w:p>
    <w:p w:rsidR="00000000" w:rsidDel="00000000" w:rsidP="00000000" w:rsidRDefault="00000000" w:rsidRPr="00000000" w14:paraId="0000004E">
      <w:pPr>
        <w:spacing w:after="200" w:before="220" w:lineRule="auto"/>
        <w:rPr>
          <w:color w:val="ff0000"/>
        </w:rPr>
      </w:pPr>
      <w:r w:rsidDel="00000000" w:rsidR="00000000" w:rsidRPr="00000000">
        <w:rPr>
          <w:color w:val="ff0000"/>
          <w:rtl w:val="0"/>
        </w:rPr>
        <w:t xml:space="preserve">c) A high-resolution echelle has several possible disadvantages: it is more expensive, more complex to calibrate and reduce, can lose throughput, and may require more demanding environmental control and data processing.</w:t>
      </w:r>
    </w:p>
    <w:p w:rsidR="00000000" w:rsidDel="00000000" w:rsidP="00000000" w:rsidRDefault="00000000" w:rsidRPr="00000000" w14:paraId="0000004F">
      <w:pPr>
        <w:spacing w:after="200" w:before="220" w:lineRule="auto"/>
        <w:rPr>
          <w:color w:val="ff0000"/>
        </w:rPr>
      </w:pPr>
      <w:r w:rsidDel="00000000" w:rsidR="00000000" w:rsidRPr="00000000">
        <w:rPr>
          <w:color w:val="c00000"/>
          <w:rtl w:val="0"/>
        </w:rPr>
        <w:br w:type="textWrapping"/>
        <w:br w:type="textWrapping"/>
        <w:t xml:space="preserve"> </w:t>
      </w:r>
      <w:r w:rsidDel="00000000" w:rsidR="00000000" w:rsidRPr="00000000">
        <w:rPr>
          <w:i w:val="1"/>
          <w:iCs w:val="1"/>
          <w:color w:val="5a5a5a"/>
          <w:sz w:val="20"/>
          <w:szCs w:val="20"/>
          <w:rtl w:val="0"/>
        </w:rPr>
        <w:t xml:space="preserve"> </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